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b/>
        </w:rPr>
        <w:t>Project</w:t>
      </w:r>
    </w:p>
    <w:p>
      <w:pPr>
        <w:spacing w:line="276" w:lineRule="auto" w:after="40"/>
        <w:jc w:val="center"/>
      </w:pPr>
      <w:r>
        <w:rPr>
          <w:i/>
          <w:sz w:val="22"/>
        </w:rPr>
        <w:t>Commission for UNESCO Affairs of the Russian Federation</w:t>
      </w:r>
    </w:p>
    <w:p>
      <w:pPr>
        <w:spacing w:line="276" w:lineRule="auto" w:after="40"/>
        <w:jc w:val="center"/>
      </w:pPr>
      <w:r>
        <w:rPr>
          <w:i/>
          <w:sz w:val="22"/>
        </w:rPr>
        <w:t>Ministry of Education and Science of the Republic of Tatarstan</w:t>
      </w:r>
    </w:p>
    <w:p>
      <w:pPr>
        <w:spacing w:line="276" w:lineRule="auto" w:after="40"/>
        <w:jc w:val="center"/>
      </w:pPr>
      <w:r>
        <w:rPr>
          <w:i/>
          <w:sz w:val="22"/>
        </w:rPr>
        <w:t>Public Chamber of the Republic of Tatarstan</w:t>
      </w:r>
    </w:p>
    <w:p>
      <w:pPr>
        <w:spacing w:line="276" w:lineRule="auto" w:after="40"/>
        <w:jc w:val="center"/>
      </w:pPr>
      <w:r>
        <w:rPr>
          <w:i/>
          <w:sz w:val="22"/>
        </w:rPr>
        <w:t>Higher Educational Institution "University of Management "TISBI"</w:t>
      </w:r>
    </w:p>
    <w:p>
      <w:pPr>
        <w:spacing w:line="276" w:lineRule="auto" w:after="40"/>
        <w:jc w:val="center"/>
      </w:pPr>
      <w:r>
        <w:rPr>
          <w:i/>
          <w:sz w:val="22"/>
        </w:rPr>
        <w:t>UNESCO Chair "Quality Education and Training of Specialists for Sustainable Development"</w:t>
      </w:r>
    </w:p>
    <w:p>
      <w:pPr>
        <w:spacing w:line="276" w:lineRule="auto" w:after="40"/>
        <w:jc w:val="center"/>
      </w:pPr>
      <w:r>
        <w:rPr>
          <w:i/>
          <w:sz w:val="22"/>
        </w:rPr>
        <w:t>Saint-Petersburg State University of Aerospace Instrumentation (SUAI)</w:t>
      </w:r>
    </w:p>
    <w:p>
      <w:pPr>
        <w:spacing w:line="276" w:lineRule="auto" w:after="40"/>
        <w:jc w:val="center"/>
      </w:pPr>
      <w:r>
        <w:rPr>
          <w:i/>
          <w:sz w:val="22"/>
        </w:rPr>
        <w:t>Peoples' Friendship University of Russia named after Patrice Lumumba (RUDN University)</w:t>
      </w:r>
    </w:p>
    <w:p>
      <w:pPr>
        <w:spacing w:line="276" w:lineRule="auto" w:after="40"/>
        <w:jc w:val="center"/>
      </w:pPr>
      <w:r>
        <w:rPr>
          <w:i/>
          <w:sz w:val="22"/>
        </w:rPr>
        <w:t>Educational Institution "Baishev University" (Kazakhstan)</w:t>
      </w:r>
    </w:p>
    <w:p>
      <w:pPr>
        <w:spacing w:line="276" w:lineRule="auto" w:after="40"/>
        <w:jc w:val="center"/>
      </w:pPr>
      <w:r>
        <w:rPr>
          <w:i/>
          <w:sz w:val="22"/>
        </w:rPr>
        <w:t>Educational Institution "Belarusian State Technological University" (Republic of Belarus)</w:t>
      </w:r>
    </w:p>
    <w:p>
      <w:pPr>
        <w:spacing w:line="276" w:lineRule="auto" w:after="40"/>
        <w:jc w:val="center"/>
      </w:pPr>
      <w:r>
        <w:rPr>
          <w:i/>
          <w:sz w:val="22"/>
        </w:rPr>
        <w:t>International Academy of Psychological Sciences (IAPS)</w:t>
      </w:r>
    </w:p>
    <w:p/>
    <w:p>
      <w:r>
        <w:rPr>
          <w:b/>
        </w:rPr>
        <w:t>Dear colleagues!</w:t>
      </w:r>
    </w:p>
    <w:p>
      <w:pPr>
        <w:ind w:firstLine="720"/>
      </w:pPr>
      <w:r>
        <w:t xml:space="preserve">We invite you to take part in the international research-to-practice conference </w:t>
      </w:r>
      <w:r>
        <w:rPr>
          <w:b/>
        </w:rPr>
        <w:t>"Science and Education: Strategic Priorities in the era of Global Challenges"</w:t>
      </w:r>
      <w:r>
        <w:t xml:space="preserve"> on December 3-4, 2026. Venue: Kazan, "University of Management "TISBI" (13 Mushtari St.). The conference will be held in a mixed format, links for participation will be sent the day before the conference starts.</w:t>
      </w:r>
    </w:p>
    <w:p>
      <w:pPr>
        <w:ind w:firstLine="720"/>
      </w:pPr>
      <w:r>
        <w:t>The conference will include a plenary session and discussion platforms in the following areas:</w:t>
      </w:r>
    </w:p>
    <w:p>
      <w:pPr>
        <w:ind w:left="360" w:hanging="360"/>
      </w:pPr>
      <w:r>
        <w:t xml:space="preserve">1. "Humanities and education in the face of global challenges: values, identity, dialogue of cultures." </w:t>
      </w:r>
      <w:r>
        <w:t xml:space="preserve">Responsible for the platform's operation and acceptance of articles: Candidate of Philological Sciences, Associate Professor Sabirzyanov A.M. </w:t>
      </w:r>
      <w:r>
        <w:rPr>
          <w:u w:val="single"/>
        </w:rPr>
        <w:t>azzat@bk.ru</w:t>
      </w:r>
    </w:p>
    <w:p>
      <w:pPr>
        <w:ind w:left="360" w:hanging="360"/>
      </w:pPr>
      <w:r>
        <w:t xml:space="preserve">2. "Regional development and economic sovereignty: strategies for modernization and new industrialization in a changing world." </w:t>
      </w:r>
      <w:r>
        <w:t xml:space="preserve">Responsible for the platform's operation and acceptance of articles: Candidate of Economic Sciences, Associate Professor Fayzrakhmanova E.A. </w:t>
      </w:r>
      <w:r>
        <w:rPr>
          <w:u w:val="single"/>
        </w:rPr>
        <w:t>el.faizr@mail.ru</w:t>
      </w:r>
    </w:p>
    <w:p>
      <w:pPr>
        <w:ind w:left="360" w:hanging="360"/>
      </w:pPr>
      <w:r>
        <w:t xml:space="preserve">3. "Legal education policy in the context of globalization: sustainable development, digital accessibility and openness." </w:t>
      </w:r>
      <w:r>
        <w:t xml:space="preserve">Responsible for the platform's operation and acceptance of articles: Candidate of Historical Sciences, Associate Professor Soldatov Ya.V. </w:t>
      </w:r>
      <w:r>
        <w:rPr>
          <w:u w:val="single"/>
        </w:rPr>
        <w:t>yacovsoldatov@yandex.ru</w:t>
      </w:r>
    </w:p>
    <w:p>
      <w:pPr>
        <w:ind w:left="360" w:hanging="360"/>
      </w:pPr>
      <w:r>
        <w:t xml:space="preserve">4. "Strategic ESG management: from projects to sustainability, adaptation to change, effective solutions." </w:t>
      </w:r>
      <w:r>
        <w:t xml:space="preserve">Responsible for the platform's operation and acceptance of articles: Candidate of Economic Sciences, Associate Professor Yelesin E.Yu. </w:t>
      </w:r>
      <w:r>
        <w:rPr>
          <w:u w:val="single"/>
        </w:rPr>
        <w:t>nauka_management@mail.ru</w:t>
      </w:r>
    </w:p>
    <w:p>
      <w:pPr>
        <w:ind w:left="360" w:hanging="360"/>
      </w:pPr>
      <w:r>
        <w:t xml:space="preserve">5. "Digital transformation of science and education: artificial intelligence, big data, cybersecurity". </w:t>
      </w:r>
      <w:r>
        <w:t xml:space="preserve">Responsible for the platform's operation and acceptance of articles: Candidate of Chemical Sciences, Associate Professor Safiullina F.F. </w:t>
      </w:r>
      <w:r>
        <w:rPr>
          <w:u w:val="single"/>
        </w:rPr>
        <w:t>fsafiullina@tisbi.ru</w:t>
      </w:r>
    </w:p>
    <w:p>
      <w:pPr>
        <w:ind w:left="360" w:hanging="360"/>
      </w:pPr>
      <w:r>
        <w:t xml:space="preserve">6. "Secondary Vocational Education - Code of the Future: from innovation to effective solutions." </w:t>
      </w:r>
      <w:r>
        <w:t xml:space="preserve">Responsible for the platform's operation and acceptance of articles: Candidate of Economic Sciences, Associate Professor Akhmirova R.Sh. </w:t>
      </w:r>
      <w:r>
        <w:rPr>
          <w:u w:val="single"/>
        </w:rPr>
        <w:t>Rimma1958-2007@yandex.ru</w:t>
      </w:r>
    </w:p>
    <w:p>
      <w:pPr>
        <w:ind w:left="360" w:hanging="360"/>
      </w:pPr>
      <w:r>
        <w:t xml:space="preserve">7. "Current trends in scientific research in the field of social sciences". </w:t>
      </w:r>
      <w:r>
        <w:t xml:space="preserve">Responsible for the platform's operation and acceptance of articles: Candidate of Pedagogical Sciences, Associate Professor Akhtarieva R.F. </w:t>
      </w:r>
      <w:r>
        <w:rPr>
          <w:u w:val="single"/>
        </w:rPr>
        <w:t>raziya-a@yandex.ru</w:t>
      </w:r>
    </w:p>
    <w:p>
      <w:r>
        <w:rPr>
          <w:b/>
        </w:rPr>
        <w:t>Forms and conditions of participation in the conference:</w:t>
      </w:r>
    </w:p>
    <w:p>
      <w:pPr>
        <w:pStyle w:val="ListBullet"/>
        <w:spacing w:after="40"/>
      </w:pPr>
      <w:r>
        <w:rPr>
          <w:b/>
        </w:rPr>
        <w:t xml:space="preserve">In-person — </w:t>
      </w:r>
      <w:r>
        <w:t>a presentation within the framework of the conference program (including via videoconferencing);</w:t>
      </w:r>
    </w:p>
    <w:p>
      <w:pPr>
        <w:pStyle w:val="ListBullet"/>
        <w:spacing w:after="40"/>
      </w:pPr>
      <w:r>
        <w:rPr>
          <w:b/>
        </w:rPr>
        <w:t xml:space="preserve">Virtual presentation — </w:t>
      </w:r>
      <w:r>
        <w:t>a recording of a presentation delivered in advance to the Organizing Committee;</w:t>
      </w:r>
    </w:p>
    <w:p>
      <w:pPr>
        <w:pStyle w:val="ListBullet"/>
        <w:spacing w:after="40"/>
      </w:pPr>
      <w:r>
        <w:rPr>
          <w:b/>
        </w:rPr>
        <w:t xml:space="preserve">By correspondence — </w:t>
      </w:r>
      <w:r>
        <w:t>a publication of a report in a collection without speaking;</w:t>
      </w:r>
    </w:p>
    <w:p>
      <w:pPr>
        <w:pStyle w:val="ListBullet"/>
        <w:spacing w:after="40"/>
      </w:pPr>
      <w:r>
        <w:rPr>
          <w:b/>
        </w:rPr>
        <w:t xml:space="preserve">As a listener — </w:t>
      </w:r>
      <w:r>
        <w:t>a participation in discussions and Q&amp;A sessions.</w:t>
      </w:r>
    </w:p>
    <w:p/>
    <w:p>
      <w:pPr>
        <w:jc w:val="center"/>
      </w:pPr>
      <w:r>
        <w:rPr>
          <w:b/>
        </w:rPr>
        <w:t>TERMS AND CONDITIONS OF PARTICIPATION IN THE CONFERENCE</w:t>
      </w:r>
    </w:p>
    <w:p>
      <w:pPr>
        <w:ind w:firstLine="720"/>
      </w:pPr>
      <w:r>
        <w:t>Students, undergraduates, postgraduates, young scholars, teachers, professors, staff scientists from higher educational institutions and research institutes, industry experts and practitioners, representatives of government agencies and local governments, representatives of public and non-profit organizations, and all interested people are able to participate. Articles written by students without any qualified authors will not be accepted.</w:t>
      </w:r>
    </w:p>
    <w:p>
      <w:pPr>
        <w:ind w:firstLine="720"/>
      </w:pPr>
      <w:r>
        <w:t>Those wishing to participate in the conference should send the following documents in separate files to the responsible for discussion platforms by November 20, 2026:</w:t>
      </w:r>
    </w:p>
    <w:p>
      <w:pPr>
        <w:ind w:firstLine="720"/>
      </w:pPr>
      <w:r>
        <w:t>1. An article designed in accordance with the requirements (the requirements are presented below). The author is responsible for the quality of the submitted materials.</w:t>
        <w:br/>
        <w:t>2. The participant's application form (a sample is provided below). To participate in the conference, you must register using the link: https://science.tisbi.ru/ru</w:t>
        <w:br/>
        <w:t>3. A scan / screenshot (for online payment) / photo of the registration fee receipt (after checked for originality). Payment is charged to everyone except students, undergraduates, and postgraduates of the University of Management "TISBI".</w:t>
      </w:r>
    </w:p>
    <w:p>
      <w:pPr>
        <w:ind w:firstLine="720"/>
      </w:pPr>
      <w:r>
        <w:t>In the subject of the letter, one should specify: For the conference on 3-4.12.26 TISBI.</w:t>
      </w:r>
    </w:p>
    <w:p>
      <w:pPr>
        <w:ind w:firstLine="720"/>
      </w:pPr>
      <w:r>
        <w:t>Once the materials are received, the Organizing Committee checks for compliance with the requirements and reviews the materials, and within 5 working days sends a letter to the author's email address confirming the acceptance of the materials or the need to make edits. It is possible to send materials for preliminary verification. After the verification, the Organizing Committee will send a letter to the author's address with the results of the verification and, if approved, detailed instructions for paying the registration fee.</w:t>
      </w:r>
    </w:p>
    <w:p>
      <w:pPr>
        <w:ind w:firstLine="720"/>
      </w:pPr>
      <w:r>
        <w:t>The conference participants pay an organizational fee (except for students, undergraduates, postgraduates of the University of Management "TISBI"), which is 100 rubles per page of the author's text (minimum volume of 5 pages) and includes the publication of the article, a certificate of acceptance of materials, an electronic collection, a certificate of participation. The printed collection is available only on request. The authors can order an additional copy of the printed collection, which costs 500 rubles per copy upon request.</w:t>
      </w:r>
    </w:p>
    <w:p>
      <w:pPr>
        <w:ind w:firstLine="720"/>
      </w:pPr>
      <w:r>
        <w:t>All detailed information about the Conference is available on the Conference website: https://science.tisbi.ru/ru .</w:t>
      </w:r>
    </w:p>
    <w:p>
      <w:pPr>
        <w:jc w:val="center"/>
      </w:pPr>
      <w:r>
        <w:rPr>
          <w:b/>
        </w:rPr>
        <w:t>PAYMENT DETAILS</w:t>
      </w:r>
    </w:p>
    <w:p>
      <w:pPr>
        <w:ind w:firstLine="720"/>
      </w:pPr>
      <w:r>
        <w:t>The conference participants pay for the publication of the conference materials in the amount of 100 rubles per page of the original author text, as well as, if necessary, an additional printed collection to their bank account:</w:t>
      </w:r>
    </w:p>
    <w:p>
      <w:pPr>
        <w:spacing w:after="40"/>
        <w:ind w:firstLine="720"/>
      </w:pPr>
      <w:r>
        <w:rPr>
          <w:b/>
        </w:rPr>
        <w:t>The University of Management “TISBI”, 420012 13 Mushtari St., Kazan</w:t>
      </w:r>
    </w:p>
    <w:p>
      <w:pPr>
        <w:spacing w:after="40"/>
        <w:ind w:firstLine="720"/>
      </w:pPr>
      <w:r>
        <w:rPr>
          <w:b/>
        </w:rPr>
        <w:t>TIN/KPP 1654005665/165501001</w:t>
      </w:r>
    </w:p>
    <w:p>
      <w:pPr>
        <w:spacing w:after="40"/>
        <w:ind w:firstLine="720"/>
      </w:pPr>
      <w:r>
        <w:rPr>
          <w:b/>
        </w:rPr>
        <w:t>Bank of Tatarstan Branch No.8610 of SBERBANK PJSC, Kazan</w:t>
      </w:r>
    </w:p>
    <w:p>
      <w:pPr>
        <w:spacing w:after="40"/>
        <w:ind w:firstLine="720"/>
      </w:pPr>
      <w:r>
        <w:rPr>
          <w:b/>
        </w:rPr>
        <w:t>BIC 049205603</w:t>
      </w:r>
    </w:p>
    <w:p>
      <w:pPr>
        <w:spacing w:after="40"/>
        <w:ind w:firstLine="720"/>
      </w:pPr>
      <w:r>
        <w:rPr>
          <w:b/>
        </w:rPr>
        <w:t>Correspondent account №30101810600000000603</w:t>
      </w:r>
    </w:p>
    <w:p>
      <w:pPr>
        <w:spacing w:after="40"/>
        <w:ind w:firstLine="720"/>
      </w:pPr>
      <w:r>
        <w:rPr>
          <w:b/>
        </w:rPr>
        <w:t>Current account № 40703810662020100078</w:t>
      </w:r>
    </w:p>
    <w:p/>
    <w:p>
      <w:pPr>
        <w:jc w:val="center"/>
      </w:pPr>
      <w:r>
        <w:rPr>
          <w:b/>
        </w:rPr>
        <w:t>THE RULES OF ARTICLES EXECUTION FOR PUBLICATION IN THE CONFERENCE COLLECTION</w:t>
      </w:r>
    </w:p>
    <w:p>
      <w:r>
        <w:rPr>
          <w:b/>
        </w:rPr>
        <w:t>1. Language requirements</w:t>
      </w:r>
    </w:p>
    <w:p>
      <w:pPr>
        <w:ind w:firstLine="720"/>
      </w:pPr>
      <w:r>
        <w:t>Materials in the official languages of the Republic of Tatarstan (Russian, Tatar), as well as in English, German and French are accepted for consideration.</w:t>
      </w:r>
    </w:p>
    <w:p>
      <w:r>
        <w:rPr>
          <w:b/>
        </w:rPr>
        <w:t>2. Technical parameters</w:t>
      </w:r>
    </w:p>
    <w:p>
      <w:pPr>
        <w:ind w:firstLine="720"/>
      </w:pPr>
      <w:r>
        <w:t>Text editor: Microsoft Word</w:t>
        <w:br/>
        <w:t>Page format: A4 (210x297 mm), portrait orientation</w:t>
        <w:br/>
        <w:t>Minimum volume: 5 full pages</w:t>
        <w:br/>
        <w:t>Font Settings:</w:t>
        <w:br/>
        <w:t>Main text: size 14, font type Times New Roman</w:t>
        <w:br/>
        <w:t>Line spacing: 1.5</w:t>
        <w:br/>
        <w:t>Paragraph indentation: 1.25 cm</w:t>
        <w:br/>
        <w:t>Page margin: equable 20 mm on all sides</w:t>
      </w:r>
    </w:p>
    <w:p>
      <w:r>
        <w:rPr>
          <w:b/>
        </w:rPr>
        <w:t>3. Structural elements</w:t>
      </w:r>
    </w:p>
    <w:p>
      <w:pPr>
        <w:ind w:firstLine="720"/>
      </w:pPr>
      <w:r>
        <w:t>3.1. Heading</w:t>
        <w:br/>
        <w:t>Is located in the center of the page</w:t>
        <w:br/>
        <w:t>Is typed in capital letters</w:t>
        <w:br/>
        <w:t>Bold font is used</w:t>
        <w:br/>
        <w:t>3.2. The metadata block (after the heading in 1.5 intervals)</w:t>
        <w:br/>
        <w:t>Last name and initials of the author(s) (lowercase letters)</w:t>
        <w:br/>
        <w:t>Academic degrees and titles</w:t>
        <w:br/>
        <w:t>Full official name of the organization</w:t>
        <w:br/>
        <w:t>Geographical affiliation (city, country)</w:t>
        <w:br/>
        <w:t>3.3. The annotation block</w:t>
        <w:br/>
        <w:t>Abstract in Russian (at least 50 words)</w:t>
        <w:br/>
        <w:t>Abstract in English (at least 50 words)</w:t>
        <w:br/>
        <w:t>Keywords in Russian (5-8 words/phrases)</w:t>
        <w:br/>
        <w:t>Keywords in English (5-8 words/phrases)</w:t>
      </w:r>
    </w:p>
    <w:p>
      <w:r>
        <w:rPr>
          <w:b/>
        </w:rPr>
        <w:t>4. Bibliographic design</w:t>
      </w:r>
    </w:p>
    <w:p>
      <w:pPr>
        <w:ind w:firstLine="720"/>
      </w:pPr>
      <w:r>
        <w:t>Referencing apparatus: intra-text links in square brackets</w:t>
        <w:br/>
        <w:t>List of references: placed after the main text in 1 interval</w:t>
        <w:br/>
        <w:t>Bibliography volume: no more than 10 titles</w:t>
        <w:br/>
        <w:t>Bibliographic list size: 12</w:t>
      </w:r>
    </w:p>
    <w:p>
      <w:r>
        <w:rPr>
          <w:b/>
        </w:rPr>
        <w:t>5. Limitations and Exclusions</w:t>
      </w:r>
    </w:p>
    <w:p>
      <w:pPr>
        <w:ind w:firstLine="720"/>
      </w:pPr>
      <w:r>
        <w:t>It is forbidden to use:</w:t>
        <w:br/>
        <w:t>- Graphical text highlighting</w:t>
        <w:br/>
        <w:t>- Subindex and footnotes</w:t>
        <w:br/>
        <w:t>- Articles published earlier, containing plagiarism and incorrect borrowings, as well as articles with less than 60% originality (verification is carried out using several databases) and AI use amount of more than 15%, cannot be accepted for publication. The supervisor (in the case of students) acts as a guarantor of the quality of the materials provided.</w:t>
      </w:r>
    </w:p>
    <w:p>
      <w:r>
        <w:rPr>
          <w:b/>
        </w:rPr>
        <w:t>6. Conference results</w:t>
      </w:r>
    </w:p>
    <w:p>
      <w:pPr>
        <w:ind w:firstLine="720"/>
      </w:pPr>
      <w:r>
        <w:t>Following the results of the conference, a collection of materials will be published with the assignment of ISBN, UDC, LBC and placement in the RSCI. The best reports and articles selected by the decision of the Organizing Committee and reviewed will be recommended for publication in the journal “Bulletin of the University of Management "TISBI"”, included in the list of the Higher Attestation Commission of the Russian Federation (VAK RF).</w:t>
        <w:br/>
        <w:br/>
        <w:t>The Editorial Board reserves the right to reject materials that do not meet the established requirements.</w:t>
      </w:r>
    </w:p>
    <w:p/>
    <w:p>
      <w:pPr>
        <w:jc w:val="center"/>
      </w:pPr>
      <w:r>
        <w:rPr>
          <w:b/>
        </w:rPr>
        <w:t>GENERAL CHARACTERISTICS OF THE RT BANKING SYSTEM</w:t>
      </w:r>
    </w:p>
    <w:p>
      <w:pPr>
        <w:jc w:val="center"/>
      </w:pPr>
      <w:r>
        <w:rPr>
          <w:i/>
        </w:rPr>
        <w:t>Petrov I.I., Candidate of Economic Sciences, Associate Professor,</w:t>
        <w:br/>
        <w:t>Higher Education Institution "University of Management "TISBI", Kazan, Russia</w:t>
      </w:r>
    </w:p>
    <w:p>
      <w:pPr>
        <w:ind w:firstLine="720"/>
      </w:pPr>
      <w:r>
        <w:t>Annotation. Annotation text.</w:t>
      </w:r>
    </w:p>
    <w:p>
      <w:pPr>
        <w:ind w:firstLine="720"/>
      </w:pPr>
      <w:r>
        <w:t>Abstract. Abstract text.</w:t>
      </w:r>
    </w:p>
    <w:p>
      <w:pPr>
        <w:ind w:firstLine="720"/>
      </w:pPr>
      <w:r>
        <w:t>Keywords: list of keywords</w:t>
      </w:r>
    </w:p>
    <w:p>
      <w:pPr>
        <w:ind w:firstLine="720"/>
      </w:pPr>
      <w:r>
        <w:t>Keywords: list of keywords</w:t>
      </w:r>
    </w:p>
    <w:p>
      <w:pPr>
        <w:ind w:firstLine="720"/>
      </w:pPr>
      <w:r>
        <w:t>The text of the article. The text of the article. The text of the article. The text of the article. The text of the article. The text of the article.</w:t>
      </w:r>
    </w:p>
    <w:p>
      <w:pPr>
        <w:ind w:firstLine="720"/>
      </w:pPr>
      <w:r>
        <w:t>Literature:…….</w:t>
      </w:r>
    </w:p>
    <w:p>
      <w:r>
        <w:br w:type="page"/>
      </w:r>
    </w:p>
    <w:p>
      <w:r>
        <w:rPr>
          <w:i/>
        </w:rPr>
        <w:t>Sample:</w:t>
      </w:r>
    </w:p>
    <w:p>
      <w:pPr>
        <w:jc w:val="center"/>
      </w:pPr>
      <w:r>
        <w:rPr>
          <w:b/>
        </w:rPr>
        <w:t>PARTICIPANT'S APPLICATION FORM</w:t>
      </w:r>
    </w:p>
    <w:tbl>
      <w:tblPr>
        <w:tblStyle w:val="TableGrid"/>
        <w:tblW w:type="auto" w:w="0"/>
        <w:tblLook w:firstColumn="1" w:firstRow="1" w:lastColumn="0" w:lastRow="0" w:noHBand="0" w:noVBand="1" w:val="04A0"/>
      </w:tblPr>
      <w:tblGrid>
        <w:gridCol w:w="4816"/>
        <w:gridCol w:w="4816"/>
      </w:tblGrid>
      <w:tr>
        <w:tc>
          <w:tcPr>
            <w:tcW w:type="dxa" w:w="9632"/>
            <w:gridSpan w:val="2"/>
            <w:tcMar>
              <w:top w:w="100" w:type="dxa"/>
              <w:bottom w:w="100" w:type="dxa"/>
              <w:left w:w="150" w:type="dxa"/>
              <w:right w:w="150" w:type="dxa"/>
            </w:tcMar>
            <w:shd w:fill="F2F2F2"/>
          </w:tcPr>
          <w:p>
            <w:r>
              <w:rPr>
                <w:b/>
              </w:rPr>
              <w:t>Information about the conference</w:t>
            </w:r>
          </w:p>
          <w:p>
            <w:r/>
          </w:p>
        </w:tc>
      </w:tr>
      <w:tr>
        <w:tc>
          <w:tcPr>
            <w:tcW w:type="dxa" w:w="4816"/>
            <w:tcMar>
              <w:top w:w="100" w:type="dxa"/>
              <w:bottom w:w="100" w:type="dxa"/>
              <w:left w:w="150" w:type="dxa"/>
              <w:right w:w="150" w:type="dxa"/>
            </w:tcMar>
          </w:tcPr>
          <w:p>
            <w:r>
              <w:t>Date of the conference</w:t>
            </w:r>
          </w:p>
        </w:tc>
        <w:tc>
          <w:tcPr>
            <w:tcW w:type="dxa" w:w="4816"/>
            <w:tcMar>
              <w:top w:w="100" w:type="dxa"/>
              <w:bottom w:w="100" w:type="dxa"/>
              <w:left w:w="150" w:type="dxa"/>
              <w:right w:w="150" w:type="dxa"/>
            </w:tcMar>
          </w:tcPr>
          <w:p>
            <w:r>
              <w:t>December 3-4, 2026</w:t>
            </w:r>
          </w:p>
        </w:tc>
      </w:tr>
      <w:tr>
        <w:tc>
          <w:tcPr>
            <w:tcW w:type="dxa" w:w="9632"/>
            <w:gridSpan w:val="2"/>
            <w:tcMar>
              <w:top w:w="100" w:type="dxa"/>
              <w:bottom w:w="100" w:type="dxa"/>
              <w:left w:w="150" w:type="dxa"/>
              <w:right w:w="150" w:type="dxa"/>
            </w:tcMar>
            <w:shd w:fill="F2F2F2"/>
          </w:tcPr>
          <w:p>
            <w:r>
              <w:rPr>
                <w:b/>
              </w:rPr>
              <w:t>Information about the article</w:t>
            </w:r>
          </w:p>
          <w:p>
            <w:r/>
          </w:p>
        </w:tc>
      </w:tr>
      <w:tr>
        <w:tc>
          <w:tcPr>
            <w:tcW w:type="dxa" w:w="9632"/>
            <w:gridSpan w:val="2"/>
            <w:tcMar>
              <w:top w:w="100" w:type="dxa"/>
              <w:bottom w:w="100" w:type="dxa"/>
              <w:left w:w="150" w:type="dxa"/>
              <w:right w:w="150" w:type="dxa"/>
            </w:tcMar>
            <w:shd w:fill="F2F2F2"/>
          </w:tcPr>
          <w:p>
            <w:r>
              <w:rPr>
                <w:b/>
              </w:rPr>
              <w:t>Article title</w:t>
            </w:r>
          </w:p>
          <w:p>
            <w:r/>
          </w:p>
        </w:tc>
      </w:tr>
      <w:tr>
        <w:tc>
          <w:tcPr>
            <w:tcW w:type="dxa" w:w="9632"/>
            <w:gridSpan w:val="2"/>
            <w:tcMar>
              <w:top w:w="100" w:type="dxa"/>
              <w:bottom w:w="100" w:type="dxa"/>
              <w:left w:w="150" w:type="dxa"/>
              <w:right w:w="150" w:type="dxa"/>
            </w:tcMar>
            <w:shd w:fill="F2F2F2"/>
          </w:tcPr>
          <w:p>
            <w:r>
              <w:rPr>
                <w:b/>
              </w:rPr>
              <w:t>Name of the discussion platform / speech at the plenary session</w:t>
            </w:r>
          </w:p>
          <w:p>
            <w:r/>
          </w:p>
        </w:tc>
      </w:tr>
    </w:tbl>
    <w:p/>
    <w:p>
      <w:r>
        <w:rPr>
          <w:b/>
        </w:rPr>
        <w:t>Information about the author / authors / scientific supervisor</w:t>
      </w:r>
    </w:p>
    <w:tbl>
      <w:tblPr>
        <w:tblStyle w:val="TableGrid"/>
        <w:tblW w:type="auto" w:w="0"/>
        <w:tblLook w:firstColumn="1" w:firstRow="1" w:lastColumn="0" w:lastRow="0" w:noHBand="0" w:noVBand="1" w:val="04A0"/>
      </w:tblPr>
      <w:tblGrid>
        <w:gridCol w:w="1605"/>
        <w:gridCol w:w="1605"/>
        <w:gridCol w:w="1605"/>
        <w:gridCol w:w="1605"/>
        <w:gridCol w:w="1605"/>
        <w:gridCol w:w="1605"/>
      </w:tblGrid>
      <w:tr>
        <w:tc>
          <w:tcPr>
            <w:tcW w:type="dxa" w:w="1605"/>
            <w:shd w:fill="E6E6E6"/>
            <w:tcMar>
              <w:top w:w="100" w:type="dxa"/>
              <w:bottom w:w="100" w:type="dxa"/>
              <w:left w:w="150" w:type="dxa"/>
              <w:right w:w="150" w:type="dxa"/>
            </w:tcMar>
          </w:tcPr>
          <w:p>
            <w:r>
              <w:rPr>
                <w:b/>
                <w:sz w:val="22"/>
              </w:rPr>
              <w:t>Category</w:t>
            </w:r>
          </w:p>
        </w:tc>
        <w:tc>
          <w:tcPr>
            <w:tcW w:type="dxa" w:w="1605"/>
            <w:shd w:fill="E6E6E6"/>
            <w:tcMar>
              <w:top w:w="100" w:type="dxa"/>
              <w:bottom w:w="100" w:type="dxa"/>
              <w:left w:w="150" w:type="dxa"/>
              <w:right w:w="150" w:type="dxa"/>
            </w:tcMar>
          </w:tcPr>
          <w:p>
            <w:r>
              <w:rPr>
                <w:b/>
                <w:sz w:val="22"/>
              </w:rPr>
              <w:t>Full Name</w:t>
            </w:r>
          </w:p>
        </w:tc>
        <w:tc>
          <w:tcPr>
            <w:tcW w:type="dxa" w:w="1605"/>
            <w:shd w:fill="E6E6E6"/>
            <w:tcMar>
              <w:top w:w="100" w:type="dxa"/>
              <w:bottom w:w="100" w:type="dxa"/>
              <w:left w:w="150" w:type="dxa"/>
              <w:right w:w="150" w:type="dxa"/>
            </w:tcMar>
          </w:tcPr>
          <w:p>
            <w:r>
              <w:rPr>
                <w:b/>
                <w:sz w:val="22"/>
              </w:rPr>
              <w:t>Place of work / study</w:t>
            </w:r>
          </w:p>
        </w:tc>
        <w:tc>
          <w:tcPr>
            <w:tcW w:type="dxa" w:w="1605"/>
            <w:shd w:fill="E6E6E6"/>
            <w:tcMar>
              <w:top w:w="100" w:type="dxa"/>
              <w:bottom w:w="100" w:type="dxa"/>
              <w:left w:w="150" w:type="dxa"/>
              <w:right w:w="150" w:type="dxa"/>
            </w:tcMar>
          </w:tcPr>
          <w:p>
            <w:r>
              <w:rPr>
                <w:b/>
                <w:sz w:val="22"/>
              </w:rPr>
              <w:t>Academic degree, title, position / course</w:t>
            </w:r>
          </w:p>
        </w:tc>
        <w:tc>
          <w:tcPr>
            <w:tcW w:type="dxa" w:w="1605"/>
            <w:shd w:fill="E6E6E6"/>
            <w:tcMar>
              <w:top w:w="100" w:type="dxa"/>
              <w:bottom w:w="100" w:type="dxa"/>
              <w:left w:w="150" w:type="dxa"/>
              <w:right w:w="150" w:type="dxa"/>
            </w:tcMar>
          </w:tcPr>
          <w:p>
            <w:r>
              <w:rPr>
                <w:b/>
                <w:sz w:val="22"/>
              </w:rPr>
              <w:t>Contact phone number</w:t>
            </w:r>
          </w:p>
        </w:tc>
        <w:tc>
          <w:tcPr>
            <w:tcW w:type="dxa" w:w="1605"/>
            <w:shd w:fill="E6E6E6"/>
            <w:tcMar>
              <w:top w:w="100" w:type="dxa"/>
              <w:bottom w:w="100" w:type="dxa"/>
              <w:left w:w="150" w:type="dxa"/>
              <w:right w:w="150" w:type="dxa"/>
            </w:tcMar>
          </w:tcPr>
          <w:p>
            <w:r>
              <w:rPr>
                <w:b/>
                <w:sz w:val="22"/>
              </w:rPr>
              <w:t>E-mail</w:t>
            </w:r>
          </w:p>
        </w:tc>
      </w:tr>
      <w:tr>
        <w:tc>
          <w:tcPr>
            <w:tcW w:type="dxa" w:w="1605"/>
            <w:tcMar>
              <w:top w:w="100" w:type="dxa"/>
              <w:bottom w:w="100" w:type="dxa"/>
              <w:left w:w="150" w:type="dxa"/>
              <w:right w:w="150" w:type="dxa"/>
            </w:tcMar>
          </w:tcPr>
          <w:p>
            <w:r>
              <w:rPr>
                <w:b/>
              </w:rPr>
              <w:t>Author 1</w:t>
            </w: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r>
      <w:tr>
        <w:tc>
          <w:tcPr>
            <w:tcW w:type="dxa" w:w="1605"/>
            <w:tcMar>
              <w:top w:w="100" w:type="dxa"/>
              <w:bottom w:w="100" w:type="dxa"/>
              <w:left w:w="150" w:type="dxa"/>
              <w:right w:w="150" w:type="dxa"/>
            </w:tcMar>
          </w:tcPr>
          <w:p>
            <w:r>
              <w:rPr>
                <w:b/>
              </w:rPr>
              <w:t>Author 2</w:t>
            </w: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r>
      <w:tr>
        <w:tc>
          <w:tcPr>
            <w:tcW w:type="dxa" w:w="1605"/>
            <w:tcMar>
              <w:top w:w="100" w:type="dxa"/>
              <w:bottom w:w="100" w:type="dxa"/>
              <w:left w:w="150" w:type="dxa"/>
              <w:right w:w="150" w:type="dxa"/>
            </w:tcMar>
          </w:tcPr>
          <w:p>
            <w:r>
              <w:rPr>
                <w:b/>
              </w:rPr>
              <w:t>Author 3</w:t>
            </w: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r>
      <w:tr>
        <w:tc>
          <w:tcPr>
            <w:tcW w:type="dxa" w:w="1605"/>
            <w:tcMar>
              <w:top w:w="100" w:type="dxa"/>
              <w:bottom w:w="100" w:type="dxa"/>
              <w:left w:w="150" w:type="dxa"/>
              <w:right w:w="150" w:type="dxa"/>
            </w:tcMar>
          </w:tcPr>
          <w:p>
            <w:r>
              <w:rPr>
                <w:b/>
              </w:rPr>
              <w:t>Scientific supervisor</w:t>
            </w: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c>
          <w:tcPr>
            <w:tcW w:type="dxa" w:w="1605"/>
            <w:tcMar>
              <w:top w:w="100" w:type="dxa"/>
              <w:bottom w:w="100" w:type="dxa"/>
              <w:left w:w="150" w:type="dxa"/>
              <w:right w:w="150" w:type="dxa"/>
            </w:tcMar>
          </w:tcPr>
          <w:p/>
        </w:tc>
      </w:tr>
    </w:tbl>
    <w:p/>
    <w:tbl>
      <w:tblPr>
        <w:tblStyle w:val="TableGrid"/>
        <w:tblW w:type="auto" w:w="0"/>
        <w:tblLook w:firstColumn="1" w:firstRow="1" w:lastColumn="0" w:lastRow="0" w:noHBand="0" w:noVBand="1" w:val="04A0"/>
      </w:tblPr>
      <w:tblGrid>
        <w:gridCol w:w="4816"/>
        <w:gridCol w:w="4816"/>
      </w:tblGrid>
      <w:tr>
        <w:tc>
          <w:tcPr>
            <w:tcW w:type="dxa" w:w="9632"/>
            <w:gridSpan w:val="2"/>
            <w:tcMar>
              <w:top w:w="100" w:type="dxa"/>
              <w:bottom w:w="100" w:type="dxa"/>
              <w:left w:w="150" w:type="dxa"/>
              <w:right w:w="150" w:type="dxa"/>
            </w:tcMar>
            <w:shd w:fill="F2F2F2"/>
          </w:tcPr>
          <w:p>
            <w:r>
              <w:rPr>
                <w:b/>
              </w:rPr>
              <w:t>Additional information</w:t>
            </w:r>
          </w:p>
          <w:p>
            <w:r/>
          </w:p>
        </w:tc>
      </w:tr>
      <w:tr>
        <w:tc>
          <w:tcPr>
            <w:tcW w:type="dxa" w:w="4816"/>
            <w:tcMar>
              <w:top w:w="100" w:type="dxa"/>
              <w:bottom w:w="100" w:type="dxa"/>
              <w:left w:w="150" w:type="dxa"/>
              <w:right w:w="150" w:type="dxa"/>
            </w:tcMar>
          </w:tcPr>
          <w:p>
            <w:r>
              <w:t>Is a certificate of acceptance of the article required for publication?</w:t>
            </w:r>
          </w:p>
        </w:tc>
        <w:tc>
          <w:tcPr>
            <w:tcW w:type="dxa" w:w="4816"/>
            <w:tcMar>
              <w:top w:w="100" w:type="dxa"/>
              <w:bottom w:w="100" w:type="dxa"/>
              <w:left w:w="150" w:type="dxa"/>
              <w:right w:w="150" w:type="dxa"/>
            </w:tcMar>
          </w:tcPr>
          <w:p>
            <w:r/>
          </w:p>
        </w:tc>
      </w:tr>
      <w:tr>
        <w:tc>
          <w:tcPr>
            <w:tcW w:type="dxa" w:w="9632"/>
            <w:gridSpan w:val="2"/>
            <w:tcMar>
              <w:top w:w="100" w:type="dxa"/>
              <w:bottom w:w="100" w:type="dxa"/>
              <w:left w:w="150" w:type="dxa"/>
              <w:right w:w="150" w:type="dxa"/>
            </w:tcMar>
            <w:shd w:fill="F2F2F2"/>
          </w:tcPr>
          <w:p>
            <w:r>
              <w:rPr>
                <w:b/>
              </w:rPr>
              <w:t>Information about the postal item</w:t>
            </w:r>
          </w:p>
          <w:p>
            <w:r/>
          </w:p>
        </w:tc>
      </w:tr>
      <w:tr>
        <w:tc>
          <w:tcPr>
            <w:tcW w:type="dxa" w:w="4816"/>
            <w:tcMar>
              <w:top w:w="100" w:type="dxa"/>
              <w:bottom w:w="100" w:type="dxa"/>
              <w:left w:w="150" w:type="dxa"/>
              <w:right w:w="150" w:type="dxa"/>
            </w:tcMar>
          </w:tcPr>
          <w:p>
            <w:r>
              <w:t>Is a printed version of collection required? If so, how much.</w:t>
            </w:r>
          </w:p>
        </w:tc>
        <w:tc>
          <w:tcPr>
            <w:tcW w:type="dxa" w:w="4816"/>
            <w:tcMar>
              <w:top w:w="100" w:type="dxa"/>
              <w:bottom w:w="100" w:type="dxa"/>
              <w:left w:w="150" w:type="dxa"/>
              <w:right w:w="150" w:type="dxa"/>
            </w:tcMar>
          </w:tcPr>
          <w:p>
            <w:r/>
          </w:p>
        </w:tc>
      </w:tr>
      <w:tr>
        <w:tc>
          <w:tcPr>
            <w:tcW w:type="dxa" w:w="4816"/>
            <w:tcMar>
              <w:top w:w="100" w:type="dxa"/>
              <w:bottom w:w="100" w:type="dxa"/>
              <w:left w:w="150" w:type="dxa"/>
              <w:right w:w="150" w:type="dxa"/>
            </w:tcMar>
          </w:tcPr>
          <w:p>
            <w:r>
              <w:t xml:space="preserve">Full name of the parcel recipient </w:t>
              <w:br/>
              <w:br/>
              <w:t>Mailing address for sending printed copies of certificates and the collection (if required) – Specify the address in the following order: index, country, city, street, house, apt./ste./rm.</w:t>
            </w:r>
          </w:p>
        </w:tc>
        <w:tc>
          <w:tcPr>
            <w:tcW w:type="dxa" w:w="4816"/>
            <w:tcMar>
              <w:top w:w="100" w:type="dxa"/>
              <w:bottom w:w="100" w:type="dxa"/>
              <w:left w:w="150" w:type="dxa"/>
              <w:right w:w="150" w:type="dxa"/>
            </w:tcMar>
          </w:tcPr>
          <w:p>
            <w:r>
              <w:t>Recipient’s name:</w:t>
              <w:br/>
              <w:br/>
              <w:t>Address:</w:t>
            </w:r>
          </w:p>
        </w:tc>
      </w:tr>
    </w:tbl>
    <w:sectPr w:rsidR="00FC693F" w:rsidRPr="0006063C" w:rsidSect="00034616">
      <w:pgSz w:w="11909" w:h="16834"/>
      <w:pgMar w:top="1138" w:right="1138" w:bottom="1138" w:left="11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120"/>
    </w:pPr>
    <w:rPr>
      <w:rFonts w:ascii="Times New Roman" w:hAnsi="Times New Roman"/>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